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7E" w:rsidRDefault="00884A7E" w:rsidP="00884A7E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0B434A">
        <w:rPr>
          <w:b/>
          <w:color w:val="000000"/>
          <w:sz w:val="28"/>
          <w:szCs w:val="28"/>
        </w:rPr>
        <w:t>Критерии оценки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950"/>
        <w:gridCol w:w="696"/>
        <w:gridCol w:w="980"/>
      </w:tblGrid>
      <w:tr w:rsidR="00884A7E" w:rsidRPr="008359C0" w:rsidTr="00021D21">
        <w:tc>
          <w:tcPr>
            <w:tcW w:w="1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Критерии оценки проекта</w:t>
            </w: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Критерии оценки проекта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Кол-во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По факту</w:t>
            </w:r>
          </w:p>
        </w:tc>
      </w:tr>
      <w:tr w:rsidR="00884A7E" w:rsidRPr="008359C0" w:rsidTr="00021D21">
        <w:tc>
          <w:tcPr>
            <w:tcW w:w="1980" w:type="dxa"/>
            <w:vMerge w:val="restart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  <w:b/>
              </w:rPr>
            </w:pPr>
            <w:r w:rsidRPr="008359C0">
              <w:rPr>
                <w:rFonts w:eastAsia="Times New Roman"/>
                <w:b/>
              </w:rPr>
              <w:t>Оценка пояснительной записки 10 баллов</w:t>
            </w: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Общее оформление (ориентация на ГОСТ 7.32-2001 Международный стандарт оформления проектной документации) (0,5 балла)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0,5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Наличие актуальности или перспектив исследуемой тематики (да – 0,5;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0-0,5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Обоснование проблемы и формулировка темы проекта (да – 0,5;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0-0,5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Анализ исторических прототипов и современных аналогов; анализ возможных идей. Выбор оптимальной идеи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Художественное проектирование: разработка концепции проекта и его значимость, создание эскизов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Определение метода или приёмов дизайн проектирования (да – 0,5;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0-0,5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Обоснование и подбор материалов (создание авторского материала)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Разработка конструкторской документации, качество инженерной графики: технических эскизов, чертежей, схем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Выбор технологии изготовления изделия. Технологическое описание процесса изготовления изделия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 xml:space="preserve">Оригинальность предложенных </w:t>
            </w:r>
            <w:proofErr w:type="spellStart"/>
            <w:r w:rsidRPr="008359C0">
              <w:rPr>
                <w:rFonts w:eastAsia="Times New Roman"/>
              </w:rPr>
              <w:t>техникотехнологических</w:t>
            </w:r>
            <w:proofErr w:type="spellEnd"/>
            <w:r w:rsidRPr="008359C0">
              <w:rPr>
                <w:rFonts w:eastAsia="Times New Roman"/>
              </w:rPr>
              <w:t>, инженерных или эргономических решений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Новизна проекта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Экономическая и экологическая оценка будущего изделия и технологии его изготовления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Рекламные предложения и перспективы внедрения изделия (да – 0,5;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0-0,5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 w:val="restart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  <w:b/>
              </w:rPr>
            </w:pPr>
            <w:r w:rsidRPr="008359C0">
              <w:rPr>
                <w:rFonts w:eastAsia="Times New Roman"/>
                <w:b/>
              </w:rPr>
              <w:t>Оценка изделия 25 баллов</w:t>
            </w: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Оригинальность дизайнерского решения (оригинально – 5; стереотипно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0-5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Качество изделия: эстетика внешнего вида, эргономика, технология обработки, прочность, декор (качественно – 9, требуется небольшая доработка – 3, некачественно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0-9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Трудоёмкость создания продукта, сложность или рациональность (оптимальность для массового производства) конструкции изделия (от 1 до 4 баллов)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1-4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Практическая или иная значимость изделия (да – 3;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0-3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Перспективность внедрения модели изделия или коллекции в производство (да – 2;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0-2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Эстетическая (дизайнерская) оценка выбранного варианта, конкурентоспособность спроектированной модели (да – 2;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0-2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 w:val="restart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lastRenderedPageBreak/>
              <w:t>Оценка защиты проекта 15 баллов</w:t>
            </w: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Краткое изложение сути проблемы и темы творческого проекта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Художественно-технологический процесс изготовления изделия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Выявление новизны и пользы изделия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Презентация (умение держаться при выступлении, время изложения, имидж участника), культура подачи материала, культура речи: владение понятийным профессиональным аппаратом по проблеме (да – 2;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0-2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Самостоятельность выполнения проекта (собственный вклад автора и самооценка деятельности) (да – 3;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0-3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Использование знаний вне школьной программы (да – 2;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0-2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Глубина знаний и эрудиция (да – 1;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0-1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Время изложения (да – 2; нет – 0)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0-2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vMerge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Понимание сути задаваемых вопросов и аргументированность ответов (да – 2; нет – 0)</w:t>
            </w:r>
          </w:p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 xml:space="preserve"> При дистанционном формате </w:t>
            </w:r>
            <w:proofErr w:type="gramStart"/>
            <w:r w:rsidRPr="008359C0">
              <w:rPr>
                <w:rFonts w:eastAsia="Times New Roman"/>
              </w:rPr>
              <w:t>проведения  -</w:t>
            </w:r>
            <w:proofErr w:type="gramEnd"/>
            <w:r w:rsidRPr="008359C0">
              <w:rPr>
                <w:rFonts w:eastAsia="Times New Roman"/>
              </w:rPr>
              <w:t xml:space="preserve">  0 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 xml:space="preserve">0 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  <w:tr w:rsidR="00884A7E" w:rsidRPr="008359C0" w:rsidTr="00021D21">
        <w:tc>
          <w:tcPr>
            <w:tcW w:w="1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4A7E" w:rsidRPr="008359C0" w:rsidRDefault="00884A7E" w:rsidP="00021D21">
            <w:pPr>
              <w:jc w:val="right"/>
              <w:rPr>
                <w:rFonts w:eastAsia="Times New Roman"/>
                <w:b/>
              </w:rPr>
            </w:pPr>
            <w:r w:rsidRPr="008359C0">
              <w:rPr>
                <w:rFonts w:eastAsia="Times New Roman"/>
                <w:b/>
              </w:rPr>
              <w:t>Итого</w:t>
            </w:r>
          </w:p>
        </w:tc>
        <w:tc>
          <w:tcPr>
            <w:tcW w:w="693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  <w:r w:rsidRPr="008359C0">
              <w:rPr>
                <w:rFonts w:eastAsia="Times New Roman"/>
              </w:rPr>
              <w:t>48</w:t>
            </w:r>
          </w:p>
        </w:tc>
        <w:tc>
          <w:tcPr>
            <w:tcW w:w="980" w:type="dxa"/>
            <w:shd w:val="clear" w:color="auto" w:fill="auto"/>
          </w:tcPr>
          <w:p w:rsidR="00884A7E" w:rsidRPr="008359C0" w:rsidRDefault="00884A7E" w:rsidP="00021D21">
            <w:pPr>
              <w:rPr>
                <w:rFonts w:eastAsia="Times New Roman"/>
              </w:rPr>
            </w:pPr>
          </w:p>
        </w:tc>
      </w:tr>
    </w:tbl>
    <w:p w:rsidR="00884A7E" w:rsidRPr="00F554DF" w:rsidRDefault="00884A7E" w:rsidP="00884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54DF">
        <w:rPr>
          <w:sz w:val="28"/>
          <w:szCs w:val="28"/>
        </w:rPr>
        <w:t>обедители и призеры определяются жюри по сумме баллов.</w:t>
      </w:r>
    </w:p>
    <w:p w:rsidR="00884A7E" w:rsidRPr="00F554DF" w:rsidRDefault="00884A7E" w:rsidP="00884A7E">
      <w:pPr>
        <w:jc w:val="both"/>
        <w:rPr>
          <w:sz w:val="28"/>
          <w:szCs w:val="28"/>
        </w:rPr>
      </w:pPr>
      <w:r w:rsidRPr="00F554DF">
        <w:rPr>
          <w:sz w:val="28"/>
          <w:szCs w:val="28"/>
        </w:rPr>
        <w:t xml:space="preserve">Победителями становятся 8% от общего количества участников, призерами – 45% от общего количества участников. </w:t>
      </w:r>
    </w:p>
    <w:p w:rsidR="00884A7E" w:rsidRPr="00F554DF" w:rsidRDefault="00884A7E" w:rsidP="00884A7E">
      <w:pPr>
        <w:jc w:val="both"/>
        <w:rPr>
          <w:sz w:val="28"/>
          <w:szCs w:val="28"/>
        </w:rPr>
      </w:pPr>
      <w:r w:rsidRPr="00F554DF">
        <w:rPr>
          <w:sz w:val="28"/>
          <w:szCs w:val="28"/>
        </w:rPr>
        <w:t>Оценка осуществляется по среднему баллу всех членов жюри.</w:t>
      </w:r>
    </w:p>
    <w:p w:rsidR="00F66177" w:rsidRDefault="00884A7E">
      <w:bookmarkStart w:id="0" w:name="_GoBack"/>
      <w:bookmarkEnd w:id="0"/>
    </w:p>
    <w:sectPr w:rsidR="00F6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7E"/>
    <w:rsid w:val="00551EEA"/>
    <w:rsid w:val="006118B5"/>
    <w:rsid w:val="008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259F-97A7-4487-9017-4F57FBD2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7E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2021-03-24T14:30:00Z</dcterms:created>
  <dcterms:modified xsi:type="dcterms:W3CDTF">2021-03-24T14:30:00Z</dcterms:modified>
</cp:coreProperties>
</file>